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0AAC8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28A33C38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3676CE41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58FDC3A8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31E8B1C7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101E4BF5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7A79CBF8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3EDDEC2F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1604B7CE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6803B2E6">
      <w:pPr>
        <w:jc w:val="both"/>
        <w:rPr>
          <w:rFonts w:hint="eastAsia" w:ascii="Arial" w:hAnsi="Arial" w:cs="Arial" w:eastAsiaTheme="minorEastAsia"/>
          <w:lang w:eastAsia="zh-CN"/>
        </w:rPr>
      </w:pPr>
    </w:p>
    <w:p w14:paraId="2FB6348B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1481F599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2A5901CC">
      <w:pPr>
        <w:jc w:val="center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485130" cy="803910"/>
            <wp:effectExtent l="0" t="0" r="0" b="0"/>
            <wp:docPr id="2" name="图片 2" descr="MADSUR    定稿_画板 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DSUR    定稿_画板 1-0"/>
                    <pic:cNvPicPr>
                      <a:picLocks noChangeAspect="1"/>
                    </pic:cNvPicPr>
                  </pic:nvPicPr>
                  <pic:blipFill>
                    <a:blip r:embed="rId5"/>
                    <a:srcRect l="5324" t="22472" r="12110" b="2281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EF7F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0E607794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0021718B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68F808DD">
      <w:pPr>
        <w:jc w:val="center"/>
        <w:rPr>
          <w:rFonts w:hint="eastAsia" w:ascii="Arial" w:hAnsi="Arial" w:cs="Arial" w:eastAsiaTheme="minorEastAsia"/>
          <w:lang w:eastAsia="zh-CN"/>
        </w:rPr>
      </w:pPr>
    </w:p>
    <w:p w14:paraId="73F12F67">
      <w:pPr>
        <w:jc w:val="center"/>
        <w:rPr>
          <w:rFonts w:hint="eastAsia" w:ascii="Arial" w:hAnsi="Arial" w:cs="Arial" w:eastAsiaTheme="minorEastAsia"/>
          <w:b/>
          <w:bCs/>
          <w:color w:val="0070C0"/>
          <w:sz w:val="56"/>
          <w:szCs w:val="56"/>
          <w:u w:val="single"/>
          <w:lang w:eastAsia="zh-CN"/>
        </w:rPr>
      </w:pPr>
      <w:r>
        <w:rPr>
          <w:rFonts w:hint="eastAsia" w:ascii="Arial" w:hAnsi="Arial" w:cs="Arial" w:eastAsiaTheme="minorEastAsia"/>
          <w:b/>
          <w:bCs/>
          <w:color w:val="0070C0"/>
          <w:sz w:val="56"/>
          <w:szCs w:val="56"/>
          <w:u w:val="single"/>
          <w:lang w:eastAsia="zh-CN"/>
        </w:rPr>
        <w:t xml:space="preserve">Electromagnetic </w:t>
      </w:r>
      <w:r>
        <w:rPr>
          <w:rFonts w:hint="eastAsia" w:ascii="Arial" w:hAnsi="Arial" w:cs="Arial"/>
          <w:b/>
          <w:bCs/>
          <w:color w:val="0070C0"/>
          <w:sz w:val="56"/>
          <w:szCs w:val="56"/>
          <w:u w:val="single"/>
          <w:lang w:val="en-US" w:eastAsia="zh-CN"/>
        </w:rPr>
        <w:t>F</w:t>
      </w:r>
      <w:r>
        <w:rPr>
          <w:rFonts w:hint="eastAsia" w:ascii="Arial" w:hAnsi="Arial" w:cs="Arial" w:eastAsiaTheme="minorEastAsia"/>
          <w:b/>
          <w:bCs/>
          <w:color w:val="0070C0"/>
          <w:sz w:val="56"/>
          <w:szCs w:val="56"/>
          <w:u w:val="single"/>
          <w:lang w:eastAsia="zh-CN"/>
        </w:rPr>
        <w:t>low</w:t>
      </w:r>
      <w:r>
        <w:rPr>
          <w:rFonts w:hint="eastAsia" w:ascii="Arial" w:hAnsi="Arial" w:cs="Arial"/>
          <w:b/>
          <w:bCs/>
          <w:color w:val="0070C0"/>
          <w:sz w:val="56"/>
          <w:szCs w:val="56"/>
          <w:u w:val="single"/>
          <w:lang w:val="en-US" w:eastAsia="zh-CN"/>
        </w:rPr>
        <w:t>-</w:t>
      </w:r>
      <w:r>
        <w:rPr>
          <w:rFonts w:hint="eastAsia" w:ascii="Arial" w:hAnsi="Arial" w:cs="Arial" w:eastAsiaTheme="minorEastAsia"/>
          <w:b/>
          <w:bCs/>
          <w:color w:val="0070C0"/>
          <w:sz w:val="56"/>
          <w:szCs w:val="56"/>
          <w:u w:val="single"/>
          <w:lang w:eastAsia="zh-CN"/>
        </w:rPr>
        <w:t>meter</w:t>
      </w:r>
    </w:p>
    <w:p w14:paraId="35608B23">
      <w:pPr>
        <w:jc w:val="center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  <w:r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  <w:t>KLLD Electromagnetic Flow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-</w:t>
      </w:r>
      <w:r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  <w:t>meter</w:t>
      </w:r>
      <w:bookmarkStart w:id="0" w:name="_GoBack"/>
      <w:bookmarkEnd w:id="0"/>
    </w:p>
    <w:p w14:paraId="65F3A7E0">
      <w:pPr>
        <w:jc w:val="center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751E5CEC">
      <w:pPr>
        <w:jc w:val="center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5346F85E">
      <w:pPr>
        <w:jc w:val="center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72A76769">
      <w:pPr>
        <w:jc w:val="both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5CB07EEA">
      <w:pPr>
        <w:jc w:val="both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7BEB670F">
      <w:pPr>
        <w:jc w:val="both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7F2FF574">
      <w:pPr>
        <w:jc w:val="both"/>
        <w:rPr>
          <w:rFonts w:hint="eastAsia" w:ascii="Arial" w:hAnsi="Arial" w:cs="Arial" w:eastAsiaTheme="minorEastAsia"/>
          <w:b/>
          <w:bCs/>
          <w:sz w:val="44"/>
          <w:szCs w:val="44"/>
          <w:lang w:eastAsia="zh-CN"/>
        </w:rPr>
      </w:pPr>
    </w:p>
    <w:p w14:paraId="23579CB3">
      <w:pPr>
        <w:ind w:firstLine="1405" w:firstLineChars="500"/>
        <w:jc w:val="right"/>
        <w:rPr>
          <w:rFonts w:hint="eastAsia" w:ascii="Arial" w:hAnsi="Arial" w:cs="Arial" w:eastAsiaTheme="minorEastAsia"/>
          <w:b/>
          <w:bCs/>
          <w:color w:val="595959" w:themeColor="text1" w:themeTint="A6"/>
          <w:sz w:val="28"/>
          <w:szCs w:val="28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595959" w:themeColor="text1" w:themeTint="A6"/>
          <w:sz w:val="28"/>
          <w:szCs w:val="28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Anhui Madsur Technology Co., Ltd</w:t>
      </w:r>
    </w:p>
    <w:p w14:paraId="4A1B40A3">
      <w:pPr>
        <w:ind w:firstLine="1440" w:firstLineChars="600"/>
        <w:jc w:val="right"/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Valeria@madsurgroup.com</w:t>
      </w:r>
    </w:p>
    <w:p w14:paraId="65D551B8">
      <w:pPr>
        <w:ind w:firstLine="1440" w:firstLineChars="600"/>
        <w:jc w:val="right"/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+8618256639967</w:t>
      </w:r>
    </w:p>
    <w:p w14:paraId="177E22B1">
      <w:pPr>
        <w:ind w:firstLine="1440" w:firstLineChars="600"/>
        <w:jc w:val="right"/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www.madsurgroup.com</w:t>
      </w:r>
    </w:p>
    <w:p w14:paraId="57C245AB">
      <w:pPr>
        <w:ind w:left="1436" w:leftChars="684" w:firstLine="0" w:firstLineChars="0"/>
        <w:jc w:val="right"/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Anhui</w:t>
      </w:r>
      <w:r>
        <w:rPr>
          <w:rFonts w:hint="eastAsia" w:ascii="Arial" w:hAnsi="Arial" w:cs="Arial"/>
          <w:b w:val="0"/>
          <w:bCs w:val="0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-</w:t>
      </w:r>
      <w:r>
        <w:rPr>
          <w:rFonts w:hint="eastAsia" w:ascii="Arial" w:hAnsi="Arial" w:cs="Arial" w:eastAsiaTheme="minorEastAsia"/>
          <w:b w:val="0"/>
          <w:bCs w:val="0"/>
          <w:color w:val="595959" w:themeColor="text1" w:themeTint="A6"/>
          <w:sz w:val="24"/>
          <w:szCs w:val="24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China</w:t>
      </w:r>
    </w:p>
    <w:p w14:paraId="327BABB0">
      <w:pPr>
        <w:ind w:left="1436" w:leftChars="684" w:firstLine="0" w:firstLineChars="0"/>
        <w:jc w:val="right"/>
        <w:rPr>
          <w:rFonts w:hint="eastAsia" w:ascii="Arial" w:hAnsi="Arial" w:cs="Arial" w:eastAsiaTheme="minorEastAsia"/>
          <w:b w:val="0"/>
          <w:bCs w:val="0"/>
          <w:sz w:val="24"/>
          <w:szCs w:val="24"/>
          <w:lang w:eastAsia="zh-CN"/>
        </w:rPr>
      </w:pPr>
    </w:p>
    <w:p w14:paraId="533145AC">
      <w:pPr>
        <w:ind w:left="1436" w:leftChars="684" w:firstLine="0" w:firstLineChars="0"/>
        <w:jc w:val="right"/>
        <w:rPr>
          <w:rFonts w:hint="eastAsia" w:ascii="Arial" w:hAnsi="Arial" w:cs="Arial" w:eastAsiaTheme="minorEastAsia"/>
          <w:b w:val="0"/>
          <w:bCs w:val="0"/>
          <w:sz w:val="24"/>
          <w:szCs w:val="24"/>
          <w:lang w:eastAsia="zh-CN"/>
        </w:rPr>
      </w:pPr>
    </w:p>
    <w:p w14:paraId="6070930D">
      <w:pPr>
        <w:jc w:val="center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drawing>
          <wp:inline distT="0" distB="0" distL="114300" distR="114300">
            <wp:extent cx="2210435" cy="2696210"/>
            <wp:effectExtent l="0" t="0" r="18415" b="8890"/>
            <wp:docPr id="6" name="图片 6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3"/>
                    <pic:cNvPicPr>
                      <a:picLocks noChangeAspect="1"/>
                    </pic:cNvPicPr>
                  </pic:nvPicPr>
                  <pic:blipFill>
                    <a:blip r:embed="rId6"/>
                    <a:srcRect l="14521" t="10661" r="16992" b="5824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       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drawing>
          <wp:inline distT="0" distB="0" distL="114300" distR="114300">
            <wp:extent cx="3242310" cy="2625090"/>
            <wp:effectExtent l="0" t="0" r="15240" b="3810"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7"/>
                    <a:srcRect l="16379" t="20862" r="3132" b="13985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5E1D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7B9B31DF">
      <w:pPr>
        <w:jc w:val="left"/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</w:pPr>
    </w:p>
    <w:p w14:paraId="643FACC7">
      <w:pPr>
        <w:jc w:val="left"/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</w:pPr>
    </w:p>
    <w:p w14:paraId="4E314FCE">
      <w:pPr>
        <w:jc w:val="left"/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  <w:t>Working principle</w:t>
      </w:r>
    </w:p>
    <w:p w14:paraId="5148402F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The KLLD electromagnetic flow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meter is manufactured using the latest electromagnetic flow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meter technology and features the following characteristics:</w:t>
      </w:r>
    </w:p>
    <w:p w14:paraId="746517F7">
      <w:pPr>
        <w:ind w:left="240" w:hanging="200" w:hangingChars="100"/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a) Measurement is unaffected by changes in fluid density, viscosity, temperature, pressure, and conductivity;</w:t>
      </w:r>
    </w:p>
    <w:p w14:paraId="600D1043">
      <w:pPr>
        <w:ind w:left="200" w:hanging="200" w:hangingChars="100"/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b) There are no obstructive flow components inside the measuring pipe, resulting in no pressure loss and lower straight pipe section requirements;</w:t>
      </w:r>
    </w:p>
    <w:p w14:paraId="2020F5DE">
      <w:pPr>
        <w:ind w:left="200" w:hanging="200" w:hangingChars="100"/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c) The series is available in nominal diameters from DN6 to DN3000. A variety of sensor lining and electrode materials are available;</w:t>
      </w:r>
    </w:p>
    <w:p w14:paraId="069E04CE">
      <w:pPr>
        <w:ind w:left="200" w:hanging="200" w:hangingChars="100"/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d) The converter employs a novel excitation method, resulting in low power consumption, zero-point stability, and high accuracy. Flow range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ability up to 1500:1;</w:t>
      </w:r>
    </w:p>
    <w:p w14:paraId="17558B90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e) The converter can be integrated with the sensor or used separately;</w:t>
      </w:r>
    </w:p>
    <w:p w14:paraId="46E7222D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f) The converter uses a 16-bit high-performance microprocessor, a 2x16 LCD display, convenient parameter setting, and reliable programming;</w:t>
      </w:r>
    </w:p>
    <w:p w14:paraId="52F9BA3B">
      <w:pPr>
        <w:ind w:left="200" w:hanging="200" w:hangingChars="100"/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g) The flow meter is a bidirectional measurement system with three built-in total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izers: forward total, reverse total, and differential total; it can display forward and reverse flow rates and has multiple outputs: current, pulse, digital communication, and HART;</w:t>
      </w:r>
    </w:p>
    <w:p w14:paraId="56817915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h) The converter uses surface mount technology (SMT) and has self-testing and self-diagnostic functions;</w:t>
      </w:r>
    </w:p>
    <w:p w14:paraId="1318714C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i) The rubber and polyurethane lined sensor has an intrinsically immersive structure;</w:t>
      </w:r>
    </w:p>
    <w:p w14:paraId="573C144A">
      <w:pPr>
        <w:jc w:val="left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j) Explosion-proof instruments can be used in appropriate explosion-proof environments;</w:t>
      </w:r>
    </w:p>
    <w:p w14:paraId="12BB6AE5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k) The KLLD electromagnetic flow meter is used to measure the volumetric flow rate of conductive liquids and slurry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in closed pipes and is suitable for chemical, power, metallurgical, petroleum, water supply and drainage, paper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  <w:t>making, pharmaceutical, and food industries.</w:t>
      </w:r>
    </w:p>
    <w:p w14:paraId="6584ABBE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1F6DA161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34C4224A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5F3B4530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0FD5DAF9">
      <w:pPr>
        <w:bidi w:val="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2B9F5748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18671824">
      <w:pPr>
        <w:jc w:val="left"/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M</w:t>
      </w:r>
      <w:r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  <w:t xml:space="preserve">achine and </w:t>
      </w:r>
      <w:r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S</w:t>
      </w:r>
      <w:r>
        <w:rPr>
          <w:rFonts w:hint="eastAsia" w:ascii="Arial" w:hAnsi="Arial" w:cs="Arial" w:eastAsiaTheme="minorEastAsia"/>
          <w:b/>
          <w:bCs/>
          <w:color w:val="4874CB" w:themeColor="accent1"/>
          <w:sz w:val="24"/>
          <w:szCs w:val="24"/>
          <w:lang w:eastAsia="zh-CN"/>
          <w14:textFill>
            <w14:solidFill>
              <w14:schemeClr w14:val="accent1"/>
            </w14:solidFill>
          </w14:textFill>
        </w:rPr>
        <w:t>ensors</w:t>
      </w:r>
    </w:p>
    <w:tbl>
      <w:tblPr>
        <w:tblW w:w="1053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3"/>
        <w:gridCol w:w="2540"/>
        <w:gridCol w:w="2005"/>
        <w:gridCol w:w="2003"/>
        <w:gridCol w:w="2008"/>
      </w:tblGrid>
      <w:tr w14:paraId="2775D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FB72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Maximum flow rate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483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15m/s</w:t>
            </w:r>
          </w:p>
        </w:tc>
      </w:tr>
      <w:tr w14:paraId="5CCA6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1C6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Accuracy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(See accuracy curve)</w:t>
            </w:r>
          </w:p>
        </w:tc>
        <w:tc>
          <w:tcPr>
            <w:tcW w:w="454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662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DN15~DN600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938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±0.3% (flow velocity ≥ 1 m/s), ±0.2%** of the indicated value</w:t>
            </w:r>
          </w:p>
        </w:tc>
      </w:tr>
      <w:tr w14:paraId="1C46EE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A7538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05588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520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±3mm/s (flow velocity &lt;1m/s)</w:t>
            </w:r>
          </w:p>
        </w:tc>
      </w:tr>
      <w:tr w14:paraId="7BDA2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ED4B8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B55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DN700~DN3000*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979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±0.5% of the indicated value (flow velocity ≥ 0.8 m/s)</w:t>
            </w:r>
          </w:p>
        </w:tc>
      </w:tr>
      <w:tr w14:paraId="74BC9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86F24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3E88E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EAF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±4mm/s(Flow rate&lt;0.8m/s)</w:t>
            </w:r>
          </w:p>
        </w:tc>
      </w:tr>
      <w:tr w14:paraId="7A8A5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F4C0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Fluid conductivity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CEC4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≥5μs/cm</w:t>
            </w:r>
          </w:p>
        </w:tc>
      </w:tr>
      <w:tr w14:paraId="16158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044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Nominal pressure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552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DN15~DN150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32E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4.0MPa</w:t>
            </w:r>
          </w:p>
        </w:tc>
      </w:tr>
      <w:tr w14:paraId="246D5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5B7F7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7FC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DN15~DN600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917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1.6MPa</w:t>
            </w:r>
          </w:p>
        </w:tc>
      </w:tr>
      <w:tr w14:paraId="42271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A4DEC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37B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DN200~DN1000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638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1.0MPa</w:t>
            </w:r>
          </w:p>
        </w:tc>
      </w:tr>
      <w:tr w14:paraId="6E475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0E587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D6E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DN700~DN3000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283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0.6MPa</w:t>
            </w:r>
          </w:p>
        </w:tc>
      </w:tr>
      <w:tr w14:paraId="472F1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9AE7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Ambient temperature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84D4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sensor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1F5F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20404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20404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-25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7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~+60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6DA05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9E074E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38C0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Converter and all-in-one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C690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-10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~+60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54B2E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610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Lining material and maximum fluid temperature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151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Lining material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C44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Separate type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CAB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all-in-one</w:t>
            </w:r>
          </w:p>
        </w:tc>
      </w:tr>
      <w:tr w14:paraId="5A05DE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B2D71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3CA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Polytetrafluoroethylene (PTFE)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956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;150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 xml:space="preserve"> (Customization required)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931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2ACF3B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79B2F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B5A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Polyfluoroethylene (PFO)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689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;150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(Customization required)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AB2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5F8FC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B605C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BCE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Perfluoroethylene (PFO)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3C2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;150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(Customization required)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36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58159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FEECF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31A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Polychloroprene rubber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FB2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;120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(Customization required)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9EE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2B0DA9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6163D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D25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Polyurethane</w:t>
            </w:r>
          </w:p>
        </w:tc>
        <w:tc>
          <w:tcPr>
            <w:tcW w:w="4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31D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72B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°C</w:t>
            </w:r>
          </w:p>
        </w:tc>
      </w:tr>
      <w:tr w14:paraId="1C160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E9A8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Signal electrode type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C67E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Fixed type (DN15~DN2600), scraper type (DN300~DN1600)</w:t>
            </w:r>
          </w:p>
        </w:tc>
      </w:tr>
      <w:tr w14:paraId="5B6505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CB9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Signal electrode and grounding electrode materials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3AFD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Molybdenum-containing stainless steel, Hastelloy B, Hastelloy C, titanium, tantalum, platinum-iridium alloy, stainless steel coated with tungsten carbide</w:t>
            </w:r>
          </w:p>
        </w:tc>
      </w:tr>
      <w:tr w14:paraId="42F13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9C07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Connecting flange material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1966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Carbon steel</w:t>
            </w:r>
          </w:p>
        </w:tc>
      </w:tr>
      <w:tr w14:paraId="752BA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A94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Grounding flange material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2C2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Stainless steel 1Cr18Ni9Ti</w:t>
            </w:r>
          </w:p>
        </w:tc>
      </w:tr>
      <w:tr w14:paraId="27FE0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AEA7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Protective flange material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DA48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DN15~DN600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7D70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Stainless steel 1Cr18Ni9Ti</w:t>
            </w:r>
          </w:p>
        </w:tc>
      </w:tr>
      <w:tr w14:paraId="3D820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CDF0BE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6879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DN700~DN3000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84B3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Carbon steel</w:t>
            </w:r>
          </w:p>
        </w:tc>
      </w:tr>
      <w:tr w14:paraId="1C2C6D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91F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Enclosure Protection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DA97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DN15-DN150 Separate rubber or polyurethane lined sensors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D18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IP65</w:t>
            </w:r>
            <w:r>
              <w:rPr>
                <w:rStyle w:val="8"/>
                <w:rFonts w:hint="default" w:ascii="Arial" w:hAnsi="Arial" w:cs="Arial"/>
                <w:sz w:val="18"/>
                <w:szCs w:val="18"/>
                <w:bdr w:val="none" w:color="auto" w:sz="0" w:space="0"/>
                <w:lang w:val="en-US" w:eastAsia="zh-CN" w:bidi="ar"/>
              </w:rPr>
              <w:t>、</w:t>
            </w:r>
            <w:r>
              <w:rPr>
                <w:rStyle w:val="9"/>
                <w:rFonts w:hint="default" w:ascii="Arial" w:hAnsi="Arial" w:eastAsia="宋体" w:cs="Arial"/>
                <w:sz w:val="18"/>
                <w:szCs w:val="18"/>
                <w:bdr w:val="none" w:color="auto" w:sz="0" w:space="0"/>
                <w:lang w:val="en-US" w:eastAsia="zh-CN" w:bidi="ar"/>
              </w:rPr>
              <w:t>IP68(Customization required)</w:t>
            </w:r>
          </w:p>
        </w:tc>
      </w:tr>
      <w:tr w14:paraId="6824D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CAA88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30A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DN200-DN2600 Separate rubber or polyurethane lined sensors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819A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IP68 underwater 10m</w:t>
            </w:r>
          </w:p>
        </w:tc>
      </w:tr>
      <w:tr w14:paraId="0A269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1B737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0C62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Other sensors and all converters</w:t>
            </w:r>
          </w:p>
        </w:tc>
        <w:tc>
          <w:tcPr>
            <w:tcW w:w="40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EB78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IP65</w:t>
            </w:r>
          </w:p>
        </w:tc>
      </w:tr>
      <w:tr w14:paraId="7F3F7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4258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Spacing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(Separation Type)</w:t>
            </w:r>
          </w:p>
        </w:tc>
        <w:tc>
          <w:tcPr>
            <w:tcW w:w="85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7DC7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distance between the converter and the sensor is generally no more than 100m;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 if it exceeds 100m, a special order is required.</w:t>
            </w:r>
          </w:p>
        </w:tc>
      </w:tr>
    </w:tbl>
    <w:p w14:paraId="791BD6E5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6E677781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tbl>
      <w:tblPr>
        <w:tblW w:w="1045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569"/>
        <w:gridCol w:w="569"/>
        <w:gridCol w:w="553"/>
        <w:gridCol w:w="548"/>
        <w:gridCol w:w="554"/>
        <w:gridCol w:w="569"/>
        <w:gridCol w:w="569"/>
        <w:gridCol w:w="553"/>
        <w:gridCol w:w="548"/>
        <w:gridCol w:w="554"/>
        <w:gridCol w:w="296"/>
        <w:gridCol w:w="1178"/>
        <w:gridCol w:w="578"/>
        <w:gridCol w:w="579"/>
        <w:gridCol w:w="1057"/>
      </w:tblGrid>
      <w:tr w14:paraId="13C5F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11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007E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Nominal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diameter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DN</w:t>
            </w:r>
          </w:p>
        </w:tc>
        <w:tc>
          <w:tcPr>
            <w:tcW w:w="27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830C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pressure1.6MPa</w:t>
            </w:r>
          </w:p>
        </w:tc>
        <w:tc>
          <w:tcPr>
            <w:tcW w:w="27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64FD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pressure4.0MPa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1A0CC6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B6D0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Nominal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diameter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DN</w:t>
            </w:r>
          </w:p>
        </w:tc>
        <w:tc>
          <w:tcPr>
            <w:tcW w:w="5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164F1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L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1739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H</w:t>
            </w:r>
          </w:p>
        </w:tc>
        <w:tc>
          <w:tcPr>
            <w:tcW w:w="10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8160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Sensor reference weight/Kg</w:t>
            </w:r>
          </w:p>
        </w:tc>
      </w:tr>
      <w:tr w14:paraId="37E8C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22" w:hRule="atLeast"/>
        </w:trPr>
        <w:tc>
          <w:tcPr>
            <w:tcW w:w="11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FF4F31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7798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0211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₁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DC6D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₀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B997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51AD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FFAF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0C31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₁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4C483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₀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7B972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5797A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FCFF2B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695A08B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B48BA5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0738B9C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23516F2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 w14:paraId="500EC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205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F18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6A4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4BE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88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617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958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47E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016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7CB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F76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913737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1DC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4CEB1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230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134B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3.6 </w:t>
            </w:r>
          </w:p>
        </w:tc>
      </w:tr>
      <w:tr w14:paraId="67AB3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BEF6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BBD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BA3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CC1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54E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CC5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CF0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C4E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E21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892A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375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FFA710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25B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61941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4A8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336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4.2 </w:t>
            </w:r>
          </w:p>
        </w:tc>
      </w:tr>
      <w:tr w14:paraId="40165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B8A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DA1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9D8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D3A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673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60F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2B0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DC8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28D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E62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AD2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0B6D03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D52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00DF8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758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F80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5.0 </w:t>
            </w:r>
          </w:p>
        </w:tc>
      </w:tr>
      <w:tr w14:paraId="110C27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04B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897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DE3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246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4EF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1A8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98B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EFE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16B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5B0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E2A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40B701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3344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5C5F4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8D2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DB3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6.3 </w:t>
            </w:r>
          </w:p>
        </w:tc>
      </w:tr>
      <w:tr w14:paraId="14BED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A7E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A2E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297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27D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978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89C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384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4F5E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1946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2C5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293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EDF9BC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D55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19414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E80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72D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7.3 </w:t>
            </w:r>
          </w:p>
        </w:tc>
      </w:tr>
      <w:tr w14:paraId="2117C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7DA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4E3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E4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EFA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ACC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B0B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3BF0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28A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E33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F2B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F2E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F8C90A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704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6CB0C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9A0B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6D0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8.5 </w:t>
            </w:r>
          </w:p>
        </w:tc>
      </w:tr>
      <w:tr w14:paraId="7F796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6C8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919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709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162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9FD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D56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7F7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432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BFF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E83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318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6AD96F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5A1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056EB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05C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AA8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11.2 </w:t>
            </w:r>
          </w:p>
        </w:tc>
      </w:tr>
      <w:tr w14:paraId="0B904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5C8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B1C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1C2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E96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F60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354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381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99C4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56D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BCC3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F39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763708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1B5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31D68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C72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9A0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12.2 </w:t>
            </w:r>
          </w:p>
        </w:tc>
      </w:tr>
      <w:tr w14:paraId="6C104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3BE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8D6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A70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7A4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EAC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AC2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215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0DE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B9F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79C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750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B38B15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71A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37D12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06A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263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175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15.2 </w:t>
            </w:r>
          </w:p>
        </w:tc>
      </w:tr>
      <w:tr w14:paraId="27F6B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425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CCE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166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F6A6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372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6AF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4A4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EDC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EB3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E6B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E5B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A49915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1E3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 w14:paraId="2306B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24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295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1B0F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18.2 </w:t>
            </w:r>
          </w:p>
        </w:tc>
      </w:tr>
      <w:tr w14:paraId="562CB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760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479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285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A2E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6C0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BD7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9CB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99F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7C5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6D9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561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E34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DA10E6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7A2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96F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686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325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AAE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 xml:space="preserve">25.0 </w:t>
            </w:r>
          </w:p>
        </w:tc>
      </w:tr>
    </w:tbl>
    <w:p w14:paraId="2FF4310C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p w14:paraId="1ED20175">
      <w:pPr>
        <w:bidi w:val="0"/>
        <w:ind w:left="200" w:hanging="200" w:hangingChars="100"/>
        <w:rPr>
          <w:rFonts w:hint="eastAsia" w:ascii="Arial" w:hAnsi="Arial" w:cs="Arial" w:eastAsiaTheme="minorEastAsia"/>
          <w:b w:val="0"/>
          <w:bCs w:val="0"/>
          <w:sz w:val="20"/>
          <w:szCs w:val="20"/>
          <w:lang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1E98F">
    <w:pPr>
      <w:pStyle w:val="3"/>
      <w:jc w:val="right"/>
      <w:rPr>
        <w:rFonts w:hint="default" w:ascii="Arial" w:hAnsi="Arial" w:cs="Arial" w:eastAsiaTheme="minorEastAsia"/>
        <w:b/>
        <w:bCs/>
        <w:color w:val="0070C0"/>
        <w:sz w:val="16"/>
        <w:szCs w:val="16"/>
        <w:lang w:eastAsia="zh-CN"/>
      </w:rPr>
    </w:pPr>
    <w:r>
      <w:rPr>
        <w:rFonts w:hint="default" w:ascii="Arial" w:hAnsi="Arial" w:cs="Arial" w:eastAsiaTheme="minorEastAsia"/>
        <w:b/>
        <w:bCs/>
        <w:color w:val="0070C0"/>
        <w:sz w:val="16"/>
        <w:szCs w:val="16"/>
        <w:lang w:eastAsia="zh-CN"/>
      </w:rPr>
      <w:drawing>
        <wp:inline distT="0" distB="0" distL="114300" distR="114300">
          <wp:extent cx="1920875" cy="288290"/>
          <wp:effectExtent l="0" t="0" r="3175" b="16510"/>
          <wp:docPr id="3" name="图片 3" descr="MADSUR    定稿_画板 1-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MADSUR    定稿_画板 1-0"/>
                  <pic:cNvPicPr>
                    <a:picLocks noChangeAspect="1"/>
                  </pic:cNvPicPr>
                </pic:nvPicPr>
                <pic:blipFill>
                  <a:blip r:embed="rId1"/>
                  <a:srcRect l="5687" t="21219" r="12349" b="23163"/>
                  <a:stretch>
                    <a:fillRect/>
                  </a:stretch>
                </pic:blipFill>
                <pic:spPr>
                  <a:xfrm>
                    <a:off x="0" y="0"/>
                    <a:ext cx="1920875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C047A">
    <w:pPr>
      <w:pStyle w:val="3"/>
      <w:bidi w:val="0"/>
      <w:rPr>
        <w:rFonts w:hint="default"/>
        <w:lang w:eastAsia="zh-CN"/>
      </w:rPr>
    </w:pPr>
    <w:r>
      <w:rPr>
        <w:rFonts w:hint="default"/>
        <w:lang w:eastAsia="zh-CN"/>
      </w:rPr>
      <w:t>Intelligence perceives the world, and technology shapes the future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292CD0"/>
    <w:rsid w:val="4729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right"/>
    </w:pPr>
    <w:rPr>
      <w:rFonts w:ascii="Arial" w:hAnsi="Arial" w:cs="Arial"/>
      <w:b/>
      <w:bCs/>
      <w:color w:val="0070C0"/>
      <w:sz w:val="16"/>
      <w:szCs w:val="16"/>
    </w:rPr>
  </w:style>
  <w:style w:type="character" w:customStyle="1" w:styleId="6">
    <w:name w:val="font41"/>
    <w:basedOn w:val="5"/>
    <w:uiPriority w:val="0"/>
    <w:rPr>
      <w:rFonts w:ascii="微软雅黑" w:hAnsi="微软雅黑" w:eastAsia="微软雅黑" w:cs="微软雅黑"/>
      <w:color w:val="204040"/>
      <w:sz w:val="20"/>
      <w:szCs w:val="20"/>
      <w:u w:val="none"/>
    </w:rPr>
  </w:style>
  <w:style w:type="character" w:customStyle="1" w:styleId="7">
    <w:name w:val="font31"/>
    <w:basedOn w:val="5"/>
    <w:uiPriority w:val="0"/>
    <w:rPr>
      <w:rFonts w:hint="default" w:ascii="Arial" w:hAnsi="Arial" w:cs="Arial"/>
      <w:color w:val="204040"/>
      <w:sz w:val="20"/>
      <w:szCs w:val="20"/>
      <w:u w:val="none"/>
    </w:rPr>
  </w:style>
  <w:style w:type="character" w:customStyle="1" w:styleId="8">
    <w:name w:val="font5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2025-11-11T02:51:00Z</dcterms:created>
  <dc:creator>WPS花花</dc:creator>
  <cp:lastModifiedBy>WPS花花</cp:lastModifiedBy>
  <dcterms:modified xsi:type="dcterms:W3CDTF">2025-11-11T09:29:19Z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186B955E379D4C18B9A25DC178E1C8FF_11</vt:lpwstr>
  </property>
  <property fmtid="{D5CDD505-2E9C-101B-9397-08002B2CF9AE}" pid="4" name="KSOTemplateDocerSaveRecord">
    <vt:lpwstr>eyJoZGlkIjoiYzk1ZTdmNzg5NmFlNzZmMDc4Mzk3OTA0NmU4YmYwMWIiLCJ1c2VySWQiOiIxNzMxNjM5NjE0In0=</vt:lpwstr>
  </property>
</Properties>
</file>